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1C0EF" w14:textId="77777777" w:rsidR="00E074AC" w:rsidRDefault="00E074AC" w:rsidP="00E074AC">
      <w:pPr>
        <w:spacing w:line="240" w:lineRule="auto"/>
        <w:jc w:val="both"/>
        <w:rPr>
          <w:rFonts w:ascii="Arial" w:eastAsia="Calibri" w:hAnsi="Arial" w:cs="Arial"/>
          <w:b/>
        </w:rPr>
      </w:pPr>
    </w:p>
    <w:tbl>
      <w:tblPr>
        <w:tblStyle w:val="TableGrid"/>
        <w:tblW w:w="9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832"/>
      </w:tblGrid>
      <w:tr w:rsidR="00E074AC" w14:paraId="433C7EDB" w14:textId="77777777" w:rsidTr="00254B15">
        <w:trPr>
          <w:trHeight w:val="155"/>
        </w:trPr>
        <w:tc>
          <w:tcPr>
            <w:tcW w:w="4832" w:type="dxa"/>
            <w:vMerge w:val="restart"/>
          </w:tcPr>
          <w:p w14:paraId="35235E14" w14:textId="77777777" w:rsidR="00E074AC" w:rsidRDefault="00E074AC" w:rsidP="00254B15">
            <w:pPr>
              <w:jc w:val="both"/>
              <w:rPr>
                <w:rFonts w:ascii="Arial" w:eastAsia="Calibri" w:hAnsi="Arial" w:cs="Arial"/>
                <w:b/>
              </w:rPr>
            </w:pPr>
            <w:bookmarkStart w:id="0" w:name="_Hlk32219539"/>
            <w:r>
              <w:rPr>
                <w:noProof/>
              </w:rPr>
              <w:drawing>
                <wp:inline distT="0" distB="0" distL="0" distR="0" wp14:anchorId="7078FF45" wp14:editId="6CE5F399">
                  <wp:extent cx="2743200" cy="420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420624"/>
                          </a:xfrm>
                          <a:prstGeom prst="rect">
                            <a:avLst/>
                          </a:prstGeom>
                          <a:noFill/>
                          <a:ln>
                            <a:noFill/>
                          </a:ln>
                        </pic:spPr>
                      </pic:pic>
                    </a:graphicData>
                  </a:graphic>
                </wp:inline>
              </w:drawing>
            </w:r>
          </w:p>
        </w:tc>
        <w:tc>
          <w:tcPr>
            <w:tcW w:w="4832" w:type="dxa"/>
            <w:tcBorders>
              <w:bottom w:val="single" w:sz="12" w:space="0" w:color="A5A5A5" w:themeColor="accent3"/>
            </w:tcBorders>
          </w:tcPr>
          <w:p w14:paraId="28DCE328" w14:textId="77777777" w:rsidR="00E074AC" w:rsidRDefault="00E074AC" w:rsidP="00254B15">
            <w:pPr>
              <w:rPr>
                <w:rFonts w:ascii="Arial" w:eastAsia="Calibri" w:hAnsi="Arial" w:cs="Arial"/>
                <w:b/>
              </w:rPr>
            </w:pPr>
          </w:p>
          <w:p w14:paraId="3D0350B8" w14:textId="3A760DD4" w:rsidR="00E074AC" w:rsidRDefault="00E074AC" w:rsidP="00254B15">
            <w:pPr>
              <w:rPr>
                <w:rFonts w:ascii="Arial" w:eastAsia="Calibri" w:hAnsi="Arial" w:cs="Arial"/>
                <w:b/>
              </w:rPr>
            </w:pPr>
            <w:r>
              <w:rPr>
                <w:rFonts w:ascii="Arial" w:eastAsia="Calibri" w:hAnsi="Arial" w:cs="Arial"/>
                <w:b/>
              </w:rPr>
              <w:t>Psychiatric Nurse Practi</w:t>
            </w:r>
            <w:r w:rsidR="000703F2">
              <w:rPr>
                <w:rFonts w:ascii="Arial" w:eastAsia="Calibri" w:hAnsi="Arial" w:cs="Arial"/>
                <w:b/>
              </w:rPr>
              <w:t>ti</w:t>
            </w:r>
            <w:r>
              <w:rPr>
                <w:rFonts w:ascii="Arial" w:eastAsia="Calibri" w:hAnsi="Arial" w:cs="Arial"/>
                <w:b/>
              </w:rPr>
              <w:t>oner</w:t>
            </w:r>
          </w:p>
        </w:tc>
      </w:tr>
      <w:tr w:rsidR="00E074AC" w14:paraId="3FA678E7" w14:textId="77777777" w:rsidTr="00254B15">
        <w:trPr>
          <w:trHeight w:val="406"/>
        </w:trPr>
        <w:tc>
          <w:tcPr>
            <w:tcW w:w="4832" w:type="dxa"/>
            <w:vMerge/>
          </w:tcPr>
          <w:p w14:paraId="02DB7380" w14:textId="77777777" w:rsidR="00E074AC" w:rsidRDefault="00E074AC" w:rsidP="00254B15">
            <w:pPr>
              <w:jc w:val="both"/>
              <w:rPr>
                <w:noProof/>
              </w:rPr>
            </w:pPr>
          </w:p>
        </w:tc>
        <w:tc>
          <w:tcPr>
            <w:tcW w:w="4832" w:type="dxa"/>
            <w:tcBorders>
              <w:top w:val="single" w:sz="12" w:space="0" w:color="A5A5A5" w:themeColor="accent3"/>
            </w:tcBorders>
          </w:tcPr>
          <w:p w14:paraId="37EAA41B" w14:textId="676C5DE4" w:rsidR="00E074AC" w:rsidRDefault="00E074AC" w:rsidP="00AD0AFD">
            <w:pPr>
              <w:rPr>
                <w:rFonts w:ascii="Arial" w:eastAsia="Calibri" w:hAnsi="Arial" w:cs="Arial"/>
                <w:b/>
              </w:rPr>
            </w:pPr>
          </w:p>
        </w:tc>
      </w:tr>
      <w:bookmarkEnd w:id="0"/>
    </w:tbl>
    <w:p w14:paraId="1B9E5AE5" w14:textId="77777777" w:rsidR="00E074AC" w:rsidRPr="00F91730" w:rsidRDefault="00E074AC" w:rsidP="003E75FA">
      <w:pPr>
        <w:spacing w:line="240" w:lineRule="auto"/>
        <w:jc w:val="left"/>
        <w:textAlignment w:val="baseline"/>
        <w:rPr>
          <w:rFonts w:asciiTheme="minorHAnsi" w:hAnsiTheme="minorHAnsi" w:cstheme="minorHAnsi"/>
          <w:color w:val="231F20"/>
          <w:sz w:val="24"/>
          <w:szCs w:val="24"/>
        </w:rPr>
      </w:pPr>
    </w:p>
    <w:p w14:paraId="23D81D59" w14:textId="486F2573" w:rsidR="003E75FA" w:rsidRPr="009420C2" w:rsidRDefault="003E75FA" w:rsidP="00C15618">
      <w:pPr>
        <w:spacing w:line="240" w:lineRule="auto"/>
        <w:jc w:val="left"/>
        <w:textAlignment w:val="baseline"/>
        <w:rPr>
          <w:rFonts w:asciiTheme="minorHAnsi" w:hAnsiTheme="minorHAnsi" w:cstheme="minorHAnsi"/>
        </w:rPr>
      </w:pPr>
      <w:r w:rsidRPr="00C15618">
        <w:rPr>
          <w:rFonts w:asciiTheme="minorHAnsi" w:hAnsiTheme="minorHAnsi" w:cstheme="minorHAnsi"/>
          <w:color w:val="231F20"/>
        </w:rPr>
        <w:t xml:space="preserve">PureView Health Center is </w:t>
      </w:r>
      <w:r w:rsidR="007C7ECB" w:rsidRPr="00C15618">
        <w:rPr>
          <w:rFonts w:asciiTheme="minorHAnsi" w:hAnsiTheme="minorHAnsi" w:cstheme="minorHAnsi"/>
          <w:color w:val="231F20"/>
        </w:rPr>
        <w:t xml:space="preserve">seeking a </w:t>
      </w:r>
      <w:r w:rsidR="007C7ECB" w:rsidRPr="00C15618">
        <w:rPr>
          <w:rFonts w:asciiTheme="minorHAnsi" w:hAnsiTheme="minorHAnsi" w:cstheme="minorHAnsi"/>
          <w:bCs/>
        </w:rPr>
        <w:t xml:space="preserve">Psychiatric Nurse Practitioner </w:t>
      </w:r>
      <w:r w:rsidR="007C7ECB" w:rsidRPr="00C15618">
        <w:rPr>
          <w:rFonts w:asciiTheme="minorHAnsi" w:hAnsiTheme="minorHAnsi" w:cstheme="minorHAnsi"/>
          <w:color w:val="231F20"/>
        </w:rPr>
        <w:t xml:space="preserve">in the main office located in Helena, Montana.  </w:t>
      </w:r>
      <w:r w:rsidR="007C7ECB">
        <w:rPr>
          <w:rFonts w:asciiTheme="minorHAnsi" w:hAnsiTheme="minorHAnsi" w:cstheme="minorHAnsi"/>
          <w:color w:val="231F20"/>
        </w:rPr>
        <w:t xml:space="preserve"> We are a </w:t>
      </w:r>
      <w:r w:rsidRPr="00C15618">
        <w:rPr>
          <w:rFonts w:asciiTheme="minorHAnsi" w:hAnsiTheme="minorHAnsi" w:cstheme="minorHAnsi"/>
          <w:color w:val="231F20"/>
        </w:rPr>
        <w:t>Federally Qualified Health Center (FQHC) with clinics located in Helena, East Helena and Lincoln, Montana. We are committed to improving the healthcare and wellness of the communities we serve</w:t>
      </w:r>
      <w:r w:rsidR="00E8008E" w:rsidRPr="00C15618">
        <w:rPr>
          <w:rFonts w:asciiTheme="minorHAnsi" w:hAnsiTheme="minorHAnsi" w:cstheme="minorHAnsi"/>
          <w:color w:val="231F20"/>
        </w:rPr>
        <w:t xml:space="preserve"> through </w:t>
      </w:r>
      <w:r w:rsidRPr="00C15618">
        <w:rPr>
          <w:rFonts w:asciiTheme="minorHAnsi" w:hAnsiTheme="minorHAnsi" w:cstheme="minorHAnsi"/>
          <w:color w:val="231F20"/>
        </w:rPr>
        <w:t xml:space="preserve">integrated care </w:t>
      </w:r>
      <w:r w:rsidR="00E8008E" w:rsidRPr="00C15618">
        <w:rPr>
          <w:rFonts w:asciiTheme="minorHAnsi" w:hAnsiTheme="minorHAnsi" w:cstheme="minorHAnsi"/>
          <w:color w:val="231F20"/>
        </w:rPr>
        <w:t xml:space="preserve">that </w:t>
      </w:r>
      <w:r w:rsidRPr="00C15618">
        <w:rPr>
          <w:rFonts w:asciiTheme="minorHAnsi" w:hAnsiTheme="minorHAnsi" w:cstheme="minorHAnsi"/>
          <w:color w:val="231F20"/>
        </w:rPr>
        <w:t>focuses on the whole person</w:t>
      </w:r>
      <w:r w:rsidRPr="009420C2">
        <w:rPr>
          <w:rFonts w:asciiTheme="minorHAnsi" w:hAnsiTheme="minorHAnsi" w:cstheme="minorHAnsi"/>
        </w:rPr>
        <w:t xml:space="preserve">.  </w:t>
      </w:r>
      <w:r w:rsidR="007C7ECB" w:rsidRPr="009420C2">
        <w:rPr>
          <w:rFonts w:asciiTheme="minorHAnsi" w:hAnsiTheme="minorHAnsi" w:cstheme="minorHAnsi"/>
        </w:rPr>
        <w:t>Our collaborative team will support you in meeting patient needs and in developing as a practitioner.</w:t>
      </w:r>
      <w:r w:rsidR="00AD0AFD">
        <w:rPr>
          <w:rFonts w:asciiTheme="minorHAnsi" w:hAnsiTheme="minorHAnsi" w:cstheme="minorHAnsi"/>
        </w:rPr>
        <w:t xml:space="preserve">  For more information go to pureviewhealthcenter.org.</w:t>
      </w:r>
    </w:p>
    <w:p w14:paraId="5B065F65" w14:textId="77777777" w:rsidR="000703F2" w:rsidRPr="00C15618" w:rsidRDefault="000703F2" w:rsidP="00C15618">
      <w:pPr>
        <w:pStyle w:val="Normal1"/>
        <w:spacing w:line="240" w:lineRule="auto"/>
        <w:rPr>
          <w:rFonts w:asciiTheme="minorHAnsi" w:hAnsiTheme="minorHAnsi" w:cstheme="minorHAnsi"/>
          <w:color w:val="auto"/>
        </w:rPr>
      </w:pPr>
    </w:p>
    <w:p w14:paraId="32DF8EF6" w14:textId="2C464FB4" w:rsidR="003E75FA" w:rsidRPr="00C15618" w:rsidRDefault="003E75FA" w:rsidP="00C15618">
      <w:pPr>
        <w:pStyle w:val="Normal1"/>
        <w:spacing w:line="240" w:lineRule="auto"/>
        <w:rPr>
          <w:rFonts w:asciiTheme="minorHAnsi" w:hAnsiTheme="minorHAnsi" w:cstheme="minorHAnsi"/>
          <w:color w:val="auto"/>
        </w:rPr>
      </w:pPr>
      <w:r w:rsidRPr="00C15618">
        <w:rPr>
          <w:rFonts w:asciiTheme="minorHAnsi" w:hAnsiTheme="minorHAnsi" w:cstheme="minorHAnsi"/>
          <w:color w:val="auto"/>
        </w:rPr>
        <w:t xml:space="preserve">Helena, the state capital of Montana, offers theaters, museums, fairs, rodeos, </w:t>
      </w:r>
      <w:r w:rsidRPr="00C15618">
        <w:rPr>
          <w:rFonts w:asciiTheme="minorHAnsi" w:hAnsiTheme="minorHAnsi" w:cstheme="minorHAnsi"/>
          <w:color w:val="auto"/>
          <w:shd w:val="clear" w:color="auto" w:fill="FFFFFF"/>
        </w:rPr>
        <w:t xml:space="preserve">a high-quality educational system, and many recreational opportunities.  </w:t>
      </w:r>
      <w:r w:rsidRPr="00C15618">
        <w:rPr>
          <w:rFonts w:asciiTheme="minorHAnsi" w:hAnsiTheme="minorHAnsi" w:cstheme="minorHAnsi"/>
          <w:color w:val="auto"/>
        </w:rPr>
        <w:t>Located near the Missouri River and the Rocky Mountains, Helena's mountains, rivers and lakes provide year-round opportunities for outdoor enthusiasts. Fishing, camping, boating, hunting, skiing, and snowmobiling can be accessed within minutes of Helena while the downtown provides access to more than 90 miles of hiking, running and biking trails.</w:t>
      </w:r>
    </w:p>
    <w:p w14:paraId="7DBCF716" w14:textId="55600CBD" w:rsidR="003E75FA" w:rsidRPr="00C15618" w:rsidRDefault="003E75FA" w:rsidP="00C15618">
      <w:pPr>
        <w:spacing w:line="240" w:lineRule="auto"/>
        <w:jc w:val="left"/>
        <w:rPr>
          <w:rFonts w:asciiTheme="minorHAnsi" w:hAnsiTheme="minorHAnsi" w:cstheme="minorHAnsi"/>
        </w:rPr>
      </w:pPr>
    </w:p>
    <w:p w14:paraId="7C3598E8" w14:textId="709127CC" w:rsidR="003E75FA" w:rsidRPr="00C15618" w:rsidRDefault="003E75FA" w:rsidP="00C15618">
      <w:pPr>
        <w:spacing w:line="240" w:lineRule="auto"/>
        <w:jc w:val="left"/>
        <w:rPr>
          <w:rFonts w:asciiTheme="minorHAnsi" w:hAnsiTheme="minorHAnsi" w:cstheme="minorHAnsi"/>
          <w:b/>
        </w:rPr>
      </w:pPr>
      <w:r w:rsidRPr="00C15618">
        <w:rPr>
          <w:rFonts w:asciiTheme="minorHAnsi" w:hAnsiTheme="minorHAnsi" w:cstheme="minorHAnsi"/>
          <w:b/>
        </w:rPr>
        <w:t>Responsibilities:</w:t>
      </w:r>
    </w:p>
    <w:p w14:paraId="0601FD21" w14:textId="3143D778" w:rsidR="000703F2" w:rsidRPr="00C15618" w:rsidRDefault="00E074AC" w:rsidP="00C15618">
      <w:pPr>
        <w:autoSpaceDE w:val="0"/>
        <w:autoSpaceDN w:val="0"/>
        <w:adjustRightInd w:val="0"/>
        <w:spacing w:line="240" w:lineRule="auto"/>
        <w:jc w:val="left"/>
        <w:rPr>
          <w:rFonts w:asciiTheme="minorHAnsi" w:hAnsiTheme="minorHAnsi" w:cstheme="minorHAnsi"/>
        </w:rPr>
      </w:pPr>
      <w:r w:rsidRPr="00C15618">
        <w:rPr>
          <w:rFonts w:asciiTheme="minorHAnsi" w:hAnsiTheme="minorHAnsi" w:cstheme="minorHAnsi"/>
          <w:bCs/>
        </w:rPr>
        <w:t xml:space="preserve">The Psychiatric Nurse Practitioner is responsible for providing </w:t>
      </w:r>
      <w:r w:rsidR="00C15618" w:rsidRPr="00C15618">
        <w:rPr>
          <w:rFonts w:asciiTheme="minorHAnsi" w:hAnsiTheme="minorHAnsi" w:cstheme="minorHAnsi"/>
        </w:rPr>
        <w:t xml:space="preserve">direct patient care and </w:t>
      </w:r>
      <w:r w:rsidRPr="00C15618">
        <w:rPr>
          <w:rFonts w:asciiTheme="minorHAnsi" w:hAnsiTheme="minorHAnsi" w:cstheme="minorHAnsi"/>
          <w:bCs/>
        </w:rPr>
        <w:t>coordinat</w:t>
      </w:r>
      <w:r w:rsidR="000703F2" w:rsidRPr="00C15618">
        <w:rPr>
          <w:rFonts w:asciiTheme="minorHAnsi" w:hAnsiTheme="minorHAnsi" w:cstheme="minorHAnsi"/>
          <w:bCs/>
        </w:rPr>
        <w:t xml:space="preserve">ion of </w:t>
      </w:r>
      <w:r w:rsidRPr="00C15618">
        <w:rPr>
          <w:rFonts w:asciiTheme="minorHAnsi" w:hAnsiTheme="minorHAnsi" w:cstheme="minorHAnsi"/>
          <w:bCs/>
        </w:rPr>
        <w:t>behavioral health care serv</w:t>
      </w:r>
      <w:r w:rsidR="000703F2" w:rsidRPr="00C15618">
        <w:rPr>
          <w:rFonts w:asciiTheme="minorHAnsi" w:hAnsiTheme="minorHAnsi" w:cstheme="minorHAnsi"/>
          <w:bCs/>
        </w:rPr>
        <w:t xml:space="preserve">ices for PureView Health Center.  You will </w:t>
      </w:r>
      <w:r w:rsidR="000703F2" w:rsidRPr="00C15618">
        <w:rPr>
          <w:rFonts w:asciiTheme="minorHAnsi" w:hAnsiTheme="minorHAnsi" w:cstheme="minorHAnsi"/>
        </w:rPr>
        <w:t>evaluate and assesses patients' mental and physical status based on presenting symptoms and complaints</w:t>
      </w:r>
      <w:r w:rsidR="00C15618" w:rsidRPr="00C15618">
        <w:rPr>
          <w:rFonts w:asciiTheme="minorHAnsi" w:hAnsiTheme="minorHAnsi" w:cstheme="minorHAnsi"/>
        </w:rPr>
        <w:t xml:space="preserve">; </w:t>
      </w:r>
      <w:r w:rsidR="000703F2" w:rsidRPr="00C15618">
        <w:rPr>
          <w:rFonts w:asciiTheme="minorHAnsi" w:hAnsiTheme="minorHAnsi" w:cstheme="minorHAnsi"/>
        </w:rPr>
        <w:t>develop and implement treatment plans and collaborate with primary care provider</w:t>
      </w:r>
      <w:r w:rsidR="0044139B" w:rsidRPr="00C15618">
        <w:rPr>
          <w:rFonts w:asciiTheme="minorHAnsi" w:hAnsiTheme="minorHAnsi" w:cstheme="minorHAnsi"/>
        </w:rPr>
        <w:t>s</w:t>
      </w:r>
      <w:r w:rsidR="000703F2" w:rsidRPr="00C15618">
        <w:rPr>
          <w:rFonts w:asciiTheme="minorHAnsi" w:hAnsiTheme="minorHAnsi" w:cstheme="minorHAnsi"/>
        </w:rPr>
        <w:t xml:space="preserve"> and staff to develop, implement or evaluate treatment plans</w:t>
      </w:r>
      <w:r w:rsidR="00C15618" w:rsidRPr="00C15618">
        <w:rPr>
          <w:rFonts w:asciiTheme="minorHAnsi" w:hAnsiTheme="minorHAnsi" w:cstheme="minorHAnsi"/>
        </w:rPr>
        <w:t xml:space="preserve">; monitor patient medication usage and results; and </w:t>
      </w:r>
      <w:r w:rsidR="000703F2" w:rsidRPr="00C15618">
        <w:rPr>
          <w:rFonts w:asciiTheme="minorHAnsi" w:hAnsiTheme="minorHAnsi" w:cstheme="minorHAnsi"/>
        </w:rPr>
        <w:t xml:space="preserve">educate patients and family members about mental health and medical conditions, preventive health, medications and treatment plans.  </w:t>
      </w:r>
    </w:p>
    <w:p w14:paraId="76BA649B" w14:textId="67B2945A" w:rsidR="003E75FA" w:rsidRPr="00C15618" w:rsidRDefault="003E75FA" w:rsidP="00C15618">
      <w:pPr>
        <w:spacing w:line="240" w:lineRule="auto"/>
        <w:jc w:val="left"/>
        <w:rPr>
          <w:rFonts w:asciiTheme="minorHAnsi" w:hAnsiTheme="minorHAnsi" w:cstheme="minorHAnsi"/>
        </w:rPr>
      </w:pPr>
    </w:p>
    <w:p w14:paraId="10714C13" w14:textId="77777777" w:rsidR="003E75FA" w:rsidRPr="00C15618" w:rsidRDefault="003E75FA" w:rsidP="00C15618">
      <w:pPr>
        <w:pStyle w:val="Normal1"/>
        <w:spacing w:line="240" w:lineRule="auto"/>
        <w:rPr>
          <w:rFonts w:asciiTheme="minorHAnsi" w:hAnsiTheme="minorHAnsi" w:cstheme="minorHAnsi"/>
        </w:rPr>
      </w:pPr>
      <w:r w:rsidRPr="00C15618">
        <w:rPr>
          <w:rFonts w:asciiTheme="minorHAnsi" w:hAnsiTheme="minorHAnsi" w:cstheme="minorHAnsi"/>
          <w:b/>
        </w:rPr>
        <w:t xml:space="preserve">Compensation and Benefits: </w:t>
      </w:r>
    </w:p>
    <w:p w14:paraId="48F23F40" w14:textId="3981D1FD" w:rsidR="003E75FA" w:rsidRPr="009420C2" w:rsidRDefault="00E074AC" w:rsidP="00C15618">
      <w:pPr>
        <w:spacing w:line="240" w:lineRule="auto"/>
        <w:jc w:val="left"/>
        <w:rPr>
          <w:rFonts w:asciiTheme="minorHAnsi" w:hAnsiTheme="minorHAnsi" w:cstheme="minorHAnsi"/>
        </w:rPr>
      </w:pPr>
      <w:r w:rsidRPr="00C15618">
        <w:rPr>
          <w:rFonts w:asciiTheme="minorHAnsi" w:hAnsiTheme="minorHAnsi" w:cstheme="minorHAnsi"/>
        </w:rPr>
        <w:t>Starting Salary is $103,660 - $129,575 per year depending on qualifications, plus a generous benefit package.</w:t>
      </w:r>
      <w:r w:rsidR="0044139B" w:rsidRPr="00C15618">
        <w:rPr>
          <w:rFonts w:asciiTheme="minorHAnsi" w:hAnsiTheme="minorHAnsi" w:cstheme="minorHAnsi"/>
        </w:rPr>
        <w:t xml:space="preserve">  PureView offers opportunities for performance-based wage growth and incentives as well as longevity payments</w:t>
      </w:r>
      <w:r w:rsidR="0044139B" w:rsidRPr="009420C2">
        <w:rPr>
          <w:rFonts w:asciiTheme="minorHAnsi" w:hAnsiTheme="minorHAnsi" w:cstheme="minorHAnsi"/>
        </w:rPr>
        <w:t>.</w:t>
      </w:r>
      <w:r w:rsidR="00665C3A" w:rsidRPr="009420C2">
        <w:rPr>
          <w:rFonts w:asciiTheme="minorHAnsi" w:hAnsiTheme="minorHAnsi" w:cstheme="minorHAnsi"/>
        </w:rPr>
        <w:t xml:space="preserve">  </w:t>
      </w:r>
      <w:r w:rsidR="00665C3A" w:rsidRPr="000F08E3">
        <w:rPr>
          <w:rFonts w:asciiTheme="minorHAnsi" w:hAnsiTheme="minorHAnsi" w:cstheme="minorHAnsi"/>
          <w:b/>
          <w:bCs/>
        </w:rPr>
        <w:t>PureView also offers a sign-on bonus and relocation allowance.</w:t>
      </w:r>
    </w:p>
    <w:p w14:paraId="3B71DAB5" w14:textId="77777777" w:rsidR="000703F2" w:rsidRPr="00C15618" w:rsidRDefault="000703F2" w:rsidP="00C15618">
      <w:pPr>
        <w:spacing w:line="240" w:lineRule="auto"/>
        <w:jc w:val="left"/>
        <w:rPr>
          <w:rFonts w:asciiTheme="minorHAnsi" w:hAnsiTheme="minorHAnsi" w:cstheme="minorHAnsi"/>
        </w:rPr>
      </w:pPr>
    </w:p>
    <w:p w14:paraId="6C838740" w14:textId="77777777" w:rsidR="00F91730" w:rsidRPr="00C15618" w:rsidRDefault="00F91730" w:rsidP="00C15618">
      <w:pPr>
        <w:spacing w:line="240" w:lineRule="auto"/>
        <w:jc w:val="left"/>
        <w:rPr>
          <w:rFonts w:asciiTheme="minorHAnsi" w:hAnsiTheme="minorHAnsi" w:cstheme="minorHAnsi"/>
        </w:rPr>
      </w:pPr>
      <w:r w:rsidRPr="00C15618">
        <w:rPr>
          <w:rFonts w:asciiTheme="minorHAnsi" w:hAnsiTheme="minorHAnsi" w:cstheme="minorHAnsi"/>
        </w:rPr>
        <w:t>Generous benefits package includes:</w:t>
      </w:r>
    </w:p>
    <w:p w14:paraId="0CE8A1DB" w14:textId="6CB37F6D" w:rsidR="00F91730" w:rsidRPr="00C15618" w:rsidRDefault="0044139B" w:rsidP="00C15618">
      <w:pPr>
        <w:pStyle w:val="ListParagraph"/>
        <w:numPr>
          <w:ilvl w:val="0"/>
          <w:numId w:val="4"/>
        </w:numPr>
        <w:spacing w:line="240" w:lineRule="auto"/>
        <w:jc w:val="left"/>
        <w:rPr>
          <w:rFonts w:asciiTheme="minorHAnsi" w:hAnsiTheme="minorHAnsi" w:cstheme="minorHAnsi"/>
        </w:rPr>
      </w:pPr>
      <w:r w:rsidRPr="00C15618">
        <w:rPr>
          <w:rFonts w:asciiTheme="minorHAnsi" w:hAnsiTheme="minorHAnsi" w:cstheme="minorHAnsi"/>
        </w:rPr>
        <w:t>Medical</w:t>
      </w:r>
      <w:r w:rsidR="00F91730" w:rsidRPr="00C15618">
        <w:rPr>
          <w:rFonts w:asciiTheme="minorHAnsi" w:hAnsiTheme="minorHAnsi" w:cstheme="minorHAnsi"/>
        </w:rPr>
        <w:t>, dental, vision</w:t>
      </w:r>
      <w:r w:rsidRPr="00C15618">
        <w:rPr>
          <w:rFonts w:asciiTheme="minorHAnsi" w:hAnsiTheme="minorHAnsi" w:cstheme="minorHAnsi"/>
        </w:rPr>
        <w:t xml:space="preserve">, prescription and telehealth </w:t>
      </w:r>
      <w:r w:rsidR="00F91730" w:rsidRPr="00C15618">
        <w:rPr>
          <w:rFonts w:asciiTheme="minorHAnsi" w:hAnsiTheme="minorHAnsi" w:cstheme="minorHAnsi"/>
        </w:rPr>
        <w:t>insurance</w:t>
      </w:r>
      <w:r w:rsidRPr="00C15618">
        <w:rPr>
          <w:rFonts w:asciiTheme="minorHAnsi" w:hAnsiTheme="minorHAnsi" w:cstheme="minorHAnsi"/>
        </w:rPr>
        <w:t xml:space="preserve"> </w:t>
      </w:r>
      <w:r w:rsidR="00E8008E" w:rsidRPr="00C15618">
        <w:rPr>
          <w:rFonts w:asciiTheme="minorHAnsi" w:hAnsiTheme="minorHAnsi" w:cstheme="minorHAnsi"/>
        </w:rPr>
        <w:t xml:space="preserve">plans </w:t>
      </w:r>
      <w:r w:rsidRPr="00C15618">
        <w:rPr>
          <w:rFonts w:asciiTheme="minorHAnsi" w:hAnsiTheme="minorHAnsi" w:cstheme="minorHAnsi"/>
        </w:rPr>
        <w:t xml:space="preserve">with </w:t>
      </w:r>
      <w:r w:rsidR="00C15618">
        <w:rPr>
          <w:rFonts w:asciiTheme="minorHAnsi" w:hAnsiTheme="minorHAnsi" w:cstheme="minorHAnsi"/>
        </w:rPr>
        <w:t xml:space="preserve">an option for a </w:t>
      </w:r>
      <w:r w:rsidRPr="00C15618">
        <w:rPr>
          <w:rFonts w:asciiTheme="minorHAnsi" w:hAnsiTheme="minorHAnsi" w:cstheme="minorHAnsi"/>
        </w:rPr>
        <w:t xml:space="preserve">traditional </w:t>
      </w:r>
      <w:r w:rsidR="00B52CC8">
        <w:rPr>
          <w:rFonts w:asciiTheme="minorHAnsi" w:hAnsiTheme="minorHAnsi" w:cstheme="minorHAnsi"/>
        </w:rPr>
        <w:t xml:space="preserve">plan </w:t>
      </w:r>
      <w:r w:rsidRPr="00C15618">
        <w:rPr>
          <w:rFonts w:asciiTheme="minorHAnsi" w:hAnsiTheme="minorHAnsi" w:cstheme="minorHAnsi"/>
        </w:rPr>
        <w:t xml:space="preserve">or high-deductible </w:t>
      </w:r>
      <w:r w:rsidR="00B52CC8">
        <w:rPr>
          <w:rFonts w:asciiTheme="minorHAnsi" w:hAnsiTheme="minorHAnsi" w:cstheme="minorHAnsi"/>
        </w:rPr>
        <w:t xml:space="preserve">plan </w:t>
      </w:r>
      <w:bookmarkStart w:id="1" w:name="_GoBack"/>
      <w:bookmarkEnd w:id="1"/>
      <w:r w:rsidRPr="00C15618">
        <w:rPr>
          <w:rFonts w:asciiTheme="minorHAnsi" w:hAnsiTheme="minorHAnsi" w:cstheme="minorHAnsi"/>
        </w:rPr>
        <w:t xml:space="preserve">with a health savings account </w:t>
      </w:r>
      <w:r w:rsidR="00C15618">
        <w:rPr>
          <w:rFonts w:asciiTheme="minorHAnsi" w:hAnsiTheme="minorHAnsi" w:cstheme="minorHAnsi"/>
        </w:rPr>
        <w:t>plan</w:t>
      </w:r>
      <w:r w:rsidRPr="00C15618">
        <w:rPr>
          <w:rFonts w:asciiTheme="minorHAnsi" w:hAnsiTheme="minorHAnsi" w:cstheme="minorHAnsi"/>
        </w:rPr>
        <w:t>.</w:t>
      </w:r>
    </w:p>
    <w:p w14:paraId="70755FBE" w14:textId="519AE722" w:rsidR="0044139B" w:rsidRPr="00C15618" w:rsidRDefault="0044139B" w:rsidP="00C15618">
      <w:pPr>
        <w:pStyle w:val="ListParagraph"/>
        <w:numPr>
          <w:ilvl w:val="0"/>
          <w:numId w:val="4"/>
        </w:numPr>
        <w:spacing w:line="240" w:lineRule="auto"/>
        <w:jc w:val="left"/>
        <w:rPr>
          <w:rFonts w:asciiTheme="minorHAnsi" w:hAnsiTheme="minorHAnsi" w:cstheme="minorHAnsi"/>
        </w:rPr>
      </w:pPr>
      <w:r w:rsidRPr="00C15618">
        <w:rPr>
          <w:rFonts w:asciiTheme="minorHAnsi" w:hAnsiTheme="minorHAnsi" w:cstheme="minorHAnsi"/>
        </w:rPr>
        <w:t>Employer-sponsored life and accidental death and dismemberment insurance.</w:t>
      </w:r>
    </w:p>
    <w:p w14:paraId="53960EEC" w14:textId="7869DF50" w:rsidR="00F91730" w:rsidRPr="00C15618" w:rsidRDefault="0044139B" w:rsidP="00C15618">
      <w:pPr>
        <w:pStyle w:val="ListParagraph"/>
        <w:numPr>
          <w:ilvl w:val="0"/>
          <w:numId w:val="4"/>
        </w:numPr>
        <w:spacing w:line="240" w:lineRule="auto"/>
        <w:jc w:val="left"/>
        <w:rPr>
          <w:rFonts w:asciiTheme="minorHAnsi" w:hAnsiTheme="minorHAnsi" w:cstheme="minorHAnsi"/>
        </w:rPr>
      </w:pPr>
      <w:r w:rsidRPr="00C15618">
        <w:rPr>
          <w:rFonts w:asciiTheme="minorHAnsi" w:hAnsiTheme="minorHAnsi" w:cstheme="minorHAnsi"/>
        </w:rPr>
        <w:t xml:space="preserve">Eight </w:t>
      </w:r>
      <w:r w:rsidR="00F91730" w:rsidRPr="00C15618">
        <w:rPr>
          <w:rFonts w:asciiTheme="minorHAnsi" w:hAnsiTheme="minorHAnsi" w:cstheme="minorHAnsi"/>
        </w:rPr>
        <w:t xml:space="preserve">holidays </w:t>
      </w:r>
      <w:r w:rsidRPr="00C15618">
        <w:rPr>
          <w:rFonts w:asciiTheme="minorHAnsi" w:hAnsiTheme="minorHAnsi" w:cstheme="minorHAnsi"/>
        </w:rPr>
        <w:t xml:space="preserve">(including </w:t>
      </w:r>
      <w:r w:rsidR="00F91730" w:rsidRPr="00C15618">
        <w:rPr>
          <w:rFonts w:asciiTheme="minorHAnsi" w:hAnsiTheme="minorHAnsi" w:cstheme="minorHAnsi"/>
        </w:rPr>
        <w:t>floating holidays</w:t>
      </w:r>
      <w:r w:rsidRPr="00C15618">
        <w:rPr>
          <w:rFonts w:asciiTheme="minorHAnsi" w:hAnsiTheme="minorHAnsi" w:cstheme="minorHAnsi"/>
        </w:rPr>
        <w:t xml:space="preserve">) per </w:t>
      </w:r>
      <w:r w:rsidR="00F91730" w:rsidRPr="00C15618">
        <w:rPr>
          <w:rFonts w:asciiTheme="minorHAnsi" w:hAnsiTheme="minorHAnsi" w:cstheme="minorHAnsi"/>
        </w:rPr>
        <w:t>year</w:t>
      </w:r>
      <w:r w:rsidR="00E8008E" w:rsidRPr="00C15618">
        <w:rPr>
          <w:rFonts w:asciiTheme="minorHAnsi" w:hAnsiTheme="minorHAnsi" w:cstheme="minorHAnsi"/>
        </w:rPr>
        <w:t>.</w:t>
      </w:r>
    </w:p>
    <w:p w14:paraId="3EC74EB3" w14:textId="6F67C624" w:rsidR="00F91730" w:rsidRPr="00C15618" w:rsidRDefault="0044139B" w:rsidP="00C15618">
      <w:pPr>
        <w:pStyle w:val="ListParagraph"/>
        <w:numPr>
          <w:ilvl w:val="0"/>
          <w:numId w:val="4"/>
        </w:numPr>
        <w:spacing w:line="240" w:lineRule="auto"/>
        <w:jc w:val="left"/>
        <w:rPr>
          <w:rFonts w:asciiTheme="minorHAnsi" w:hAnsiTheme="minorHAnsi" w:cstheme="minorHAnsi"/>
        </w:rPr>
      </w:pPr>
      <w:r w:rsidRPr="00C15618">
        <w:rPr>
          <w:rFonts w:asciiTheme="minorHAnsi" w:hAnsiTheme="minorHAnsi" w:cstheme="minorHAnsi"/>
        </w:rPr>
        <w:t>A generous Paid Time Off (</w:t>
      </w:r>
      <w:r w:rsidR="00F91730" w:rsidRPr="00C15618">
        <w:rPr>
          <w:rFonts w:asciiTheme="minorHAnsi" w:hAnsiTheme="minorHAnsi" w:cstheme="minorHAnsi"/>
        </w:rPr>
        <w:t>PTO</w:t>
      </w:r>
      <w:r w:rsidRPr="00C15618">
        <w:rPr>
          <w:rFonts w:asciiTheme="minorHAnsi" w:hAnsiTheme="minorHAnsi" w:cstheme="minorHAnsi"/>
        </w:rPr>
        <w:t xml:space="preserve">) program where </w:t>
      </w:r>
      <w:r w:rsidR="00F91730" w:rsidRPr="00C15618">
        <w:rPr>
          <w:rFonts w:asciiTheme="minorHAnsi" w:hAnsiTheme="minorHAnsi" w:cstheme="minorHAnsi"/>
        </w:rPr>
        <w:t>accrual</w:t>
      </w:r>
      <w:r w:rsidRPr="00C15618">
        <w:rPr>
          <w:rFonts w:asciiTheme="minorHAnsi" w:hAnsiTheme="minorHAnsi" w:cstheme="minorHAnsi"/>
        </w:rPr>
        <w:t xml:space="preserve"> and eligibility</w:t>
      </w:r>
      <w:r w:rsidR="00F91730" w:rsidRPr="00C15618">
        <w:rPr>
          <w:rFonts w:asciiTheme="minorHAnsi" w:hAnsiTheme="minorHAnsi" w:cstheme="minorHAnsi"/>
        </w:rPr>
        <w:t xml:space="preserve"> start on </w:t>
      </w:r>
      <w:r w:rsidR="00E8008E" w:rsidRPr="00C15618">
        <w:rPr>
          <w:rFonts w:asciiTheme="minorHAnsi" w:hAnsiTheme="minorHAnsi" w:cstheme="minorHAnsi"/>
        </w:rPr>
        <w:t>date of</w:t>
      </w:r>
      <w:r w:rsidRPr="00C15618">
        <w:rPr>
          <w:rFonts w:asciiTheme="minorHAnsi" w:hAnsiTheme="minorHAnsi" w:cstheme="minorHAnsi"/>
        </w:rPr>
        <w:t xml:space="preserve"> </w:t>
      </w:r>
      <w:r w:rsidR="00F91730" w:rsidRPr="00C15618">
        <w:rPr>
          <w:rFonts w:asciiTheme="minorHAnsi" w:hAnsiTheme="minorHAnsi" w:cstheme="minorHAnsi"/>
        </w:rPr>
        <w:t>hire</w:t>
      </w:r>
      <w:r w:rsidR="00E8008E" w:rsidRPr="00C15618">
        <w:rPr>
          <w:rFonts w:asciiTheme="minorHAnsi" w:hAnsiTheme="minorHAnsi" w:cstheme="minorHAnsi"/>
        </w:rPr>
        <w:t>.</w:t>
      </w:r>
    </w:p>
    <w:p w14:paraId="70469D56" w14:textId="18F18EA8" w:rsidR="0044139B" w:rsidRPr="00C15618" w:rsidRDefault="0044139B" w:rsidP="00C15618">
      <w:pPr>
        <w:pStyle w:val="ListParagraph"/>
        <w:numPr>
          <w:ilvl w:val="0"/>
          <w:numId w:val="4"/>
        </w:numPr>
        <w:spacing w:line="240" w:lineRule="auto"/>
        <w:jc w:val="left"/>
        <w:rPr>
          <w:rFonts w:asciiTheme="minorHAnsi" w:hAnsiTheme="minorHAnsi" w:cstheme="minorHAnsi"/>
        </w:rPr>
      </w:pPr>
      <w:r w:rsidRPr="00C15618">
        <w:rPr>
          <w:rFonts w:asciiTheme="minorHAnsi" w:hAnsiTheme="minorHAnsi" w:cstheme="minorHAnsi"/>
        </w:rPr>
        <w:t>Additional paid leave (in addition to PTO) including extended sick, military, bereavement, and jury duty leave</w:t>
      </w:r>
      <w:r w:rsidR="00E8008E" w:rsidRPr="00C15618">
        <w:rPr>
          <w:rFonts w:asciiTheme="minorHAnsi" w:hAnsiTheme="minorHAnsi" w:cstheme="minorHAnsi"/>
        </w:rPr>
        <w:t>.</w:t>
      </w:r>
    </w:p>
    <w:p w14:paraId="7F22F021" w14:textId="750088C2" w:rsidR="00F91730" w:rsidRPr="00C15618" w:rsidRDefault="000F08E3" w:rsidP="00C15618">
      <w:pPr>
        <w:pStyle w:val="ListParagraph"/>
        <w:numPr>
          <w:ilvl w:val="0"/>
          <w:numId w:val="4"/>
        </w:numPr>
        <w:spacing w:line="240" w:lineRule="auto"/>
        <w:jc w:val="left"/>
        <w:rPr>
          <w:rFonts w:asciiTheme="minorHAnsi" w:hAnsiTheme="minorHAnsi" w:cstheme="minorHAnsi"/>
        </w:rPr>
      </w:pPr>
      <w:r>
        <w:rPr>
          <w:rFonts w:asciiTheme="minorHAnsi" w:hAnsiTheme="minorHAnsi" w:cstheme="minorHAnsi"/>
        </w:rPr>
        <w:t>401k plan with 4% automatic employer contribution and up to additional 4% employer match after one year of employment.</w:t>
      </w:r>
    </w:p>
    <w:p w14:paraId="3425525B" w14:textId="16D531FF" w:rsidR="003E75FA" w:rsidRPr="00C15618" w:rsidRDefault="003E75FA" w:rsidP="00C15618">
      <w:pPr>
        <w:spacing w:line="240" w:lineRule="auto"/>
        <w:jc w:val="left"/>
        <w:rPr>
          <w:rFonts w:asciiTheme="minorHAnsi" w:hAnsiTheme="minorHAnsi" w:cstheme="minorHAnsi"/>
        </w:rPr>
      </w:pPr>
    </w:p>
    <w:p w14:paraId="70F01642" w14:textId="77777777" w:rsidR="003E75FA" w:rsidRPr="00C15618" w:rsidRDefault="003E75FA" w:rsidP="00C15618">
      <w:pPr>
        <w:pStyle w:val="Normal1"/>
        <w:spacing w:line="240" w:lineRule="auto"/>
        <w:rPr>
          <w:rFonts w:asciiTheme="minorHAnsi" w:hAnsiTheme="minorHAnsi" w:cstheme="minorHAnsi"/>
        </w:rPr>
      </w:pPr>
      <w:r w:rsidRPr="00C15618">
        <w:rPr>
          <w:rFonts w:asciiTheme="minorHAnsi" w:hAnsiTheme="minorHAnsi" w:cstheme="minorHAnsi"/>
          <w:b/>
        </w:rPr>
        <w:t>Qualifications:</w:t>
      </w:r>
    </w:p>
    <w:p w14:paraId="3302AC8A" w14:textId="0B8876DF" w:rsidR="000703F2" w:rsidRPr="00C15618" w:rsidRDefault="000703F2" w:rsidP="00E74588">
      <w:pPr>
        <w:autoSpaceDE w:val="0"/>
        <w:autoSpaceDN w:val="0"/>
        <w:adjustRightInd w:val="0"/>
        <w:spacing w:line="240" w:lineRule="auto"/>
        <w:jc w:val="left"/>
        <w:rPr>
          <w:rFonts w:asciiTheme="minorHAnsi" w:hAnsiTheme="minorHAnsi" w:cstheme="minorHAnsi"/>
        </w:rPr>
      </w:pPr>
      <w:r w:rsidRPr="00C15618">
        <w:rPr>
          <w:rFonts w:asciiTheme="minorHAnsi" w:hAnsiTheme="minorHAnsi" w:cstheme="minorHAnsi"/>
        </w:rPr>
        <w:t xml:space="preserve">The knowledge, skills, and abilities required for this position are acquired through a combination of education and experience equivalent to a graduate degree in psychiatric nursing and certification as a </w:t>
      </w:r>
      <w:r w:rsidRPr="009420C2">
        <w:rPr>
          <w:rFonts w:asciiTheme="minorHAnsi" w:hAnsiTheme="minorHAnsi" w:cstheme="minorHAnsi"/>
        </w:rPr>
        <w:lastRenderedPageBreak/>
        <w:t xml:space="preserve">psychiatric </w:t>
      </w:r>
      <w:r w:rsidR="00665C3A" w:rsidRPr="009420C2">
        <w:rPr>
          <w:rFonts w:asciiTheme="minorHAnsi" w:hAnsiTheme="minorHAnsi" w:cstheme="minorHAnsi"/>
        </w:rPr>
        <w:t xml:space="preserve">mental health </w:t>
      </w:r>
      <w:r w:rsidRPr="009420C2">
        <w:rPr>
          <w:rFonts w:asciiTheme="minorHAnsi" w:hAnsiTheme="minorHAnsi" w:cstheme="minorHAnsi"/>
        </w:rPr>
        <w:t>nurse practitioner</w:t>
      </w:r>
      <w:r w:rsidR="00665C3A" w:rsidRPr="009420C2">
        <w:rPr>
          <w:rFonts w:asciiTheme="minorHAnsi" w:hAnsiTheme="minorHAnsi" w:cstheme="minorHAnsi"/>
        </w:rPr>
        <w:t xml:space="preserve"> – board certified</w:t>
      </w:r>
      <w:r w:rsidRPr="009420C2">
        <w:rPr>
          <w:rFonts w:asciiTheme="minorHAnsi" w:hAnsiTheme="minorHAnsi" w:cstheme="minorHAnsi"/>
        </w:rPr>
        <w:t xml:space="preserve"> </w:t>
      </w:r>
      <w:r w:rsidRPr="00C15618">
        <w:rPr>
          <w:rFonts w:asciiTheme="minorHAnsi" w:hAnsiTheme="minorHAnsi" w:cstheme="minorHAnsi"/>
        </w:rPr>
        <w:t>(PMHNP-BC).  Two (2) years’ experience providing psychiatric nurse practitioner services preferred.  Must be a licensed Psychiatric Nurse Practitioner eligible to practice in the State of Montana.</w:t>
      </w:r>
    </w:p>
    <w:p w14:paraId="092921F7" w14:textId="0A08AFB7" w:rsidR="003E75FA" w:rsidRPr="00C15618" w:rsidRDefault="003E75FA" w:rsidP="00E74588">
      <w:pPr>
        <w:spacing w:line="240" w:lineRule="auto"/>
        <w:jc w:val="left"/>
        <w:rPr>
          <w:rFonts w:asciiTheme="minorHAnsi" w:hAnsiTheme="minorHAnsi" w:cstheme="minorHAnsi"/>
        </w:rPr>
      </w:pPr>
    </w:p>
    <w:p w14:paraId="47BF5A0C" w14:textId="77777777" w:rsidR="003E75FA" w:rsidRPr="00C15618" w:rsidRDefault="003E75FA" w:rsidP="00C15618">
      <w:pPr>
        <w:pStyle w:val="Normal1"/>
        <w:spacing w:line="240" w:lineRule="auto"/>
        <w:rPr>
          <w:rFonts w:asciiTheme="minorHAnsi" w:hAnsiTheme="minorHAnsi" w:cstheme="minorHAnsi"/>
        </w:rPr>
      </w:pPr>
      <w:r w:rsidRPr="00C15618">
        <w:rPr>
          <w:rFonts w:asciiTheme="minorHAnsi" w:hAnsiTheme="minorHAnsi" w:cstheme="minorHAnsi"/>
          <w:b/>
        </w:rPr>
        <w:t>To Apply:</w:t>
      </w:r>
    </w:p>
    <w:p w14:paraId="12EE5C79" w14:textId="77777777" w:rsidR="003E75FA" w:rsidRPr="00C15618" w:rsidRDefault="003E75FA" w:rsidP="00C15618">
      <w:pPr>
        <w:pStyle w:val="Normal1"/>
        <w:spacing w:line="240" w:lineRule="auto"/>
        <w:rPr>
          <w:rFonts w:asciiTheme="minorHAnsi" w:hAnsiTheme="minorHAnsi" w:cstheme="minorHAnsi"/>
        </w:rPr>
      </w:pPr>
      <w:r w:rsidRPr="00C15618">
        <w:rPr>
          <w:rFonts w:asciiTheme="minorHAnsi" w:hAnsiTheme="minorHAnsi" w:cstheme="minorHAnsi"/>
        </w:rPr>
        <w:t>Please prepare and submit the following:</w:t>
      </w:r>
    </w:p>
    <w:p w14:paraId="5D5E46D3" w14:textId="5C16C95E" w:rsidR="003E75FA" w:rsidRPr="00C15618" w:rsidRDefault="003E75FA" w:rsidP="00C15618">
      <w:pPr>
        <w:pStyle w:val="Normal1"/>
        <w:numPr>
          <w:ilvl w:val="0"/>
          <w:numId w:val="1"/>
        </w:numPr>
        <w:spacing w:line="240" w:lineRule="auto"/>
        <w:ind w:hanging="360"/>
        <w:contextualSpacing/>
        <w:rPr>
          <w:rFonts w:asciiTheme="minorHAnsi" w:hAnsiTheme="minorHAnsi" w:cstheme="minorHAnsi"/>
        </w:rPr>
      </w:pPr>
      <w:r w:rsidRPr="00C15618">
        <w:rPr>
          <w:rFonts w:asciiTheme="minorHAnsi" w:hAnsiTheme="minorHAnsi" w:cstheme="minorHAnsi"/>
        </w:rPr>
        <w:t>A cover letter of no more than two pages in length that addresses the candidate’s qualifications for the position.</w:t>
      </w:r>
    </w:p>
    <w:p w14:paraId="04D007B0" w14:textId="7137F5E2" w:rsidR="003E75FA" w:rsidRPr="00C15618" w:rsidRDefault="003E75FA" w:rsidP="00C15618">
      <w:pPr>
        <w:pStyle w:val="Normal1"/>
        <w:numPr>
          <w:ilvl w:val="0"/>
          <w:numId w:val="1"/>
        </w:numPr>
        <w:spacing w:line="240" w:lineRule="auto"/>
        <w:ind w:hanging="360"/>
        <w:contextualSpacing/>
        <w:rPr>
          <w:rFonts w:asciiTheme="minorHAnsi" w:hAnsiTheme="minorHAnsi" w:cstheme="minorHAnsi"/>
        </w:rPr>
      </w:pPr>
      <w:r w:rsidRPr="00C15618">
        <w:rPr>
          <w:rFonts w:asciiTheme="minorHAnsi" w:hAnsiTheme="minorHAnsi" w:cstheme="minorHAnsi"/>
        </w:rPr>
        <w:t>A resume that details the applicant’s qualifications and work history.</w:t>
      </w:r>
    </w:p>
    <w:p w14:paraId="0F2078D2" w14:textId="6993D80A" w:rsidR="00AD0AFD" w:rsidRPr="00AD0AFD" w:rsidRDefault="003E75FA" w:rsidP="00AD0AFD">
      <w:pPr>
        <w:pStyle w:val="Normal1"/>
        <w:numPr>
          <w:ilvl w:val="0"/>
          <w:numId w:val="1"/>
        </w:numPr>
        <w:spacing w:line="240" w:lineRule="auto"/>
        <w:ind w:hanging="360"/>
        <w:contextualSpacing/>
        <w:rPr>
          <w:rFonts w:asciiTheme="minorHAnsi" w:hAnsiTheme="minorHAnsi" w:cstheme="minorHAnsi"/>
        </w:rPr>
      </w:pPr>
      <w:r w:rsidRPr="00C15618">
        <w:rPr>
          <w:rFonts w:asciiTheme="minorHAnsi" w:hAnsiTheme="minorHAnsi" w:cstheme="minorHAnsi"/>
        </w:rPr>
        <w:t>The names and contact information for three professional references.</w:t>
      </w:r>
    </w:p>
    <w:p w14:paraId="6934CCE3" w14:textId="29A51DBF" w:rsidR="003E75FA" w:rsidRPr="00C15618" w:rsidRDefault="003E75FA" w:rsidP="00C15618">
      <w:pPr>
        <w:pStyle w:val="Normal1"/>
        <w:spacing w:line="240" w:lineRule="auto"/>
        <w:ind w:left="720"/>
        <w:contextualSpacing/>
        <w:rPr>
          <w:rFonts w:asciiTheme="minorHAnsi" w:hAnsiTheme="minorHAnsi" w:cstheme="minorHAnsi"/>
        </w:rPr>
      </w:pPr>
    </w:p>
    <w:p w14:paraId="183D3F09" w14:textId="77777777" w:rsidR="003E75FA" w:rsidRPr="00C15618" w:rsidRDefault="003E75FA" w:rsidP="00C15618">
      <w:pPr>
        <w:pStyle w:val="Normal1"/>
        <w:spacing w:line="240" w:lineRule="auto"/>
        <w:rPr>
          <w:rFonts w:asciiTheme="minorHAnsi" w:hAnsiTheme="minorHAnsi" w:cstheme="minorHAnsi"/>
        </w:rPr>
      </w:pPr>
      <w:r w:rsidRPr="00C15618">
        <w:rPr>
          <w:rFonts w:asciiTheme="minorHAnsi" w:hAnsiTheme="minorHAnsi" w:cstheme="minorHAnsi"/>
        </w:rPr>
        <w:t xml:space="preserve">Submit application materials to: </w:t>
      </w:r>
    </w:p>
    <w:p w14:paraId="00A7F7EB" w14:textId="281E27FD" w:rsidR="003E75FA" w:rsidRPr="00C15618" w:rsidRDefault="003E75FA" w:rsidP="00C15618">
      <w:pPr>
        <w:pStyle w:val="Normal1"/>
        <w:numPr>
          <w:ilvl w:val="0"/>
          <w:numId w:val="2"/>
        </w:numPr>
        <w:spacing w:line="240" w:lineRule="auto"/>
        <w:rPr>
          <w:rFonts w:asciiTheme="minorHAnsi" w:hAnsiTheme="minorHAnsi" w:cstheme="minorHAnsi"/>
        </w:rPr>
      </w:pPr>
      <w:r w:rsidRPr="00C15618">
        <w:rPr>
          <w:rFonts w:asciiTheme="minorHAnsi" w:hAnsiTheme="minorHAnsi" w:cstheme="minorHAnsi"/>
        </w:rPr>
        <w:t>P.O. Box 1251, Helena, MT  596</w:t>
      </w:r>
      <w:r w:rsidR="00317685">
        <w:rPr>
          <w:rFonts w:asciiTheme="minorHAnsi" w:hAnsiTheme="minorHAnsi" w:cstheme="minorHAnsi"/>
        </w:rPr>
        <w:t>24</w:t>
      </w:r>
      <w:r w:rsidRPr="00C15618">
        <w:rPr>
          <w:rFonts w:asciiTheme="minorHAnsi" w:hAnsiTheme="minorHAnsi" w:cstheme="minorHAnsi"/>
        </w:rPr>
        <w:t xml:space="preserve"> or electronically to </w:t>
      </w:r>
      <w:hyperlink r:id="rId6" w:history="1">
        <w:r w:rsidRPr="00C15618">
          <w:rPr>
            <w:rStyle w:val="Hyperlink"/>
            <w:rFonts w:asciiTheme="minorHAnsi" w:hAnsiTheme="minorHAnsi" w:cstheme="minorHAnsi"/>
          </w:rPr>
          <w:t>khoxie@mt.net</w:t>
        </w:r>
      </w:hyperlink>
      <w:r w:rsidRPr="00C15618">
        <w:rPr>
          <w:rFonts w:asciiTheme="minorHAnsi" w:hAnsiTheme="minorHAnsi" w:cstheme="minorHAnsi"/>
        </w:rPr>
        <w:t xml:space="preserve">   </w:t>
      </w:r>
    </w:p>
    <w:p w14:paraId="29646FE4" w14:textId="2152D2A3" w:rsidR="00AD0AFD" w:rsidRPr="00AD0AFD" w:rsidRDefault="003E75FA" w:rsidP="00AD0AFD">
      <w:pPr>
        <w:pStyle w:val="Normal1"/>
        <w:numPr>
          <w:ilvl w:val="0"/>
          <w:numId w:val="2"/>
        </w:numPr>
        <w:spacing w:line="240" w:lineRule="auto"/>
        <w:rPr>
          <w:rStyle w:val="Hyperlink"/>
          <w:rFonts w:asciiTheme="minorHAnsi" w:hAnsiTheme="minorHAnsi" w:cstheme="minorHAnsi"/>
          <w:color w:val="000000"/>
          <w:u w:val="none"/>
        </w:rPr>
      </w:pPr>
      <w:r w:rsidRPr="00C15618">
        <w:rPr>
          <w:rFonts w:asciiTheme="minorHAnsi" w:hAnsiTheme="minorHAnsi" w:cstheme="minorHAnsi"/>
        </w:rPr>
        <w:t xml:space="preserve">For questions or additional information regarding the position, contact Jim Kerins at 406-442-4934 or </w:t>
      </w:r>
      <w:hyperlink r:id="rId7" w:history="1">
        <w:r w:rsidRPr="00C15618">
          <w:rPr>
            <w:rStyle w:val="Hyperlink"/>
            <w:rFonts w:asciiTheme="minorHAnsi" w:hAnsiTheme="minorHAnsi" w:cstheme="minorHAnsi"/>
          </w:rPr>
          <w:t>jkerins@mt.net</w:t>
        </w:r>
      </w:hyperlink>
      <w:r w:rsidR="00AD0AFD">
        <w:rPr>
          <w:rStyle w:val="Hyperlink"/>
          <w:rFonts w:asciiTheme="minorHAnsi" w:hAnsiTheme="minorHAnsi" w:cstheme="minorHAnsi"/>
        </w:rPr>
        <w:t>.</w:t>
      </w:r>
    </w:p>
    <w:p w14:paraId="72ABEE6B" w14:textId="48E68225" w:rsidR="000F08E3" w:rsidRPr="000F08E3" w:rsidRDefault="000F08E3" w:rsidP="000F08E3">
      <w:pPr>
        <w:pStyle w:val="Normal1"/>
        <w:spacing w:line="240" w:lineRule="auto"/>
        <w:ind w:left="720"/>
        <w:rPr>
          <w:rStyle w:val="Hyperlink"/>
          <w:rFonts w:asciiTheme="minorHAnsi" w:hAnsiTheme="minorHAnsi" w:cstheme="minorHAnsi"/>
          <w:u w:val="none"/>
        </w:rPr>
      </w:pPr>
    </w:p>
    <w:p w14:paraId="0A49AEB0" w14:textId="4136C3D4" w:rsidR="003E75FA" w:rsidRPr="00E74588" w:rsidRDefault="000F08E3" w:rsidP="00E74588">
      <w:pPr>
        <w:pStyle w:val="Normal1"/>
        <w:spacing w:line="240" w:lineRule="auto"/>
        <w:rPr>
          <w:rFonts w:asciiTheme="minorHAnsi" w:hAnsiTheme="minorHAnsi" w:cstheme="minorHAnsi"/>
          <w:color w:val="auto"/>
        </w:rPr>
      </w:pPr>
      <w:r w:rsidRPr="000F08E3">
        <w:rPr>
          <w:rStyle w:val="Hyperlink"/>
          <w:rFonts w:asciiTheme="minorHAnsi" w:hAnsiTheme="minorHAnsi" w:cstheme="minorHAnsi"/>
          <w:color w:val="auto"/>
          <w:u w:val="none"/>
        </w:rPr>
        <w:t>The position is open until filled</w:t>
      </w:r>
      <w:r>
        <w:rPr>
          <w:rStyle w:val="Hyperlink"/>
          <w:rFonts w:asciiTheme="minorHAnsi" w:hAnsiTheme="minorHAnsi" w:cstheme="minorHAnsi"/>
          <w:color w:val="auto"/>
          <w:u w:val="none"/>
        </w:rPr>
        <w:t>.</w:t>
      </w:r>
    </w:p>
    <w:sectPr w:rsidR="003E75FA" w:rsidRPr="00E74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80342"/>
    <w:multiLevelType w:val="hybridMultilevel"/>
    <w:tmpl w:val="2FBE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A5C0C"/>
    <w:multiLevelType w:val="hybridMultilevel"/>
    <w:tmpl w:val="EDE6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E3566"/>
    <w:multiLevelType w:val="hybridMultilevel"/>
    <w:tmpl w:val="8C32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C25BF"/>
    <w:multiLevelType w:val="multilevel"/>
    <w:tmpl w:val="96DACB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FA"/>
    <w:rsid w:val="000703F2"/>
    <w:rsid w:val="000F08E3"/>
    <w:rsid w:val="002558F3"/>
    <w:rsid w:val="00317685"/>
    <w:rsid w:val="003E75FA"/>
    <w:rsid w:val="0044139B"/>
    <w:rsid w:val="00665C3A"/>
    <w:rsid w:val="007C7ECB"/>
    <w:rsid w:val="008B4C6E"/>
    <w:rsid w:val="009420C2"/>
    <w:rsid w:val="0099640F"/>
    <w:rsid w:val="00A37895"/>
    <w:rsid w:val="00A87312"/>
    <w:rsid w:val="00AD0AFD"/>
    <w:rsid w:val="00B02072"/>
    <w:rsid w:val="00B116C1"/>
    <w:rsid w:val="00B52CC8"/>
    <w:rsid w:val="00B933AC"/>
    <w:rsid w:val="00C15618"/>
    <w:rsid w:val="00E074AC"/>
    <w:rsid w:val="00E74588"/>
    <w:rsid w:val="00E8008E"/>
    <w:rsid w:val="00F91730"/>
    <w:rsid w:val="00FA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A220"/>
  <w15:chartTrackingRefBased/>
  <w15:docId w15:val="{CFE1838E-952E-458B-971E-097CBAF3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5FA"/>
    <w:pPr>
      <w:spacing w:after="0" w:line="204" w:lineRule="auto"/>
      <w:jc w:val="center"/>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E75FA"/>
    <w:pPr>
      <w:spacing w:after="0" w:line="276" w:lineRule="auto"/>
    </w:pPr>
    <w:rPr>
      <w:rFonts w:ascii="Arial" w:eastAsia="Arial" w:hAnsi="Arial" w:cs="Arial"/>
      <w:color w:val="000000"/>
    </w:rPr>
  </w:style>
  <w:style w:type="character" w:styleId="Hyperlink">
    <w:name w:val="Hyperlink"/>
    <w:rsid w:val="003E75FA"/>
    <w:rPr>
      <w:color w:val="0000FF"/>
      <w:u w:val="single"/>
    </w:rPr>
  </w:style>
  <w:style w:type="table" w:styleId="TableGrid">
    <w:name w:val="Table Grid"/>
    <w:basedOn w:val="TableNormal"/>
    <w:uiPriority w:val="59"/>
    <w:rsid w:val="00E07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kerins@m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oxie@mt.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9</cp:revision>
  <dcterms:created xsi:type="dcterms:W3CDTF">2020-02-11T15:22:00Z</dcterms:created>
  <dcterms:modified xsi:type="dcterms:W3CDTF">2020-02-13T16:33:00Z</dcterms:modified>
</cp:coreProperties>
</file>